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jc w:val="center"/>
        <w:rPr>
          <w:rFonts w:eastAsia="Times New Roman" w:cs="Calibri" w:cstheme="minorHAnsi"/>
          <w:b/>
          <w:b/>
          <w:bCs/>
          <w:color w:val="000000" w:themeColor="text1"/>
          <w:lang w:eastAsia="pl-PL"/>
        </w:rPr>
      </w:pPr>
      <w:r>
        <w:rPr>
          <w:rFonts w:eastAsia="Times New Roman" w:cs="Calibri" w:cstheme="minorHAnsi"/>
          <w:b/>
          <w:bCs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 xml:space="preserve">Ogłoszenie </w:t>
      </w:r>
      <w:r>
        <w:rPr>
          <w:rFonts w:eastAsia="Times New Roman" w:cs="Calibri" w:cstheme="minorHAnsi"/>
          <w:b/>
          <w:color w:val="000000" w:themeColor="text1"/>
          <w:lang w:eastAsia="pl-PL"/>
        </w:rPr>
        <w:t>o rekrutacji uczestników projektu do form wsparcia w ramach projektu pn. „Mode</w:t>
      </w: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>rnizacja kształcenia zawodowego w Powiecie Strzelecko-Drezdeneckim”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Powiatowy Zespół Ekonomiczno-Administracyjny w Strzelcach Krajeńskich informuje o rozpoczęciu rekrutacji do doradztwa edukacyjno-zawodowego, zajęć szkoleniowych, kół naukowych uczestników projektu z Zespołu Szkół w Drezdenku</w:t>
      </w:r>
    </w:p>
    <w:p>
      <w:pPr>
        <w:pStyle w:val="Normal"/>
        <w:shd w:val="clear" w:color="auto" w:fill="FFFFFF"/>
        <w:spacing w:beforeAutospacing="1" w:afterAutospacing="1"/>
        <w:jc w:val="both"/>
        <w:rPr/>
      </w:pPr>
      <w:r>
        <w:rPr>
          <w:rFonts w:eastAsia="Times New Roman" w:cs="Calibri" w:cstheme="minorHAnsi"/>
          <w:color w:val="000000" w:themeColor="text1"/>
          <w:u w:val="single"/>
          <w:lang w:eastAsia="pl-PL"/>
        </w:rPr>
        <w:t>Termin rekrutacji</w:t>
      </w:r>
      <w:r>
        <w:rPr>
          <w:rFonts w:eastAsia="Times New Roman" w:cs="Calibri" w:cstheme="minorHAnsi"/>
          <w:color w:val="000000" w:themeColor="text1"/>
          <w:lang w:eastAsia="pl-PL"/>
        </w:rPr>
        <w:t>: od d</w:t>
      </w:r>
      <w:r>
        <w:rPr>
          <w:rFonts w:eastAsia="Times New Roman" w:cs="Calibri" w:cstheme="minorHAnsi"/>
          <w:color w:val="000000"/>
          <w:lang w:eastAsia="pl-PL"/>
        </w:rPr>
        <w:t xml:space="preserve">nia </w:t>
      </w:r>
      <w:r>
        <w:rPr>
          <w:rFonts w:eastAsia="Times New Roman" w:cs="Calibri" w:cstheme="minorHAnsi"/>
          <w:b/>
          <w:bCs/>
          <w:color w:val="000000"/>
          <w:lang w:eastAsia="pl-PL"/>
        </w:rPr>
        <w:t>07</w:t>
      </w:r>
      <w:bookmarkStart w:id="0" w:name="__DdeLink__646_4074548651"/>
      <w:r>
        <w:rPr>
          <w:rFonts w:eastAsia="Times New Roman" w:cs="Calibri" w:cstheme="minorHAnsi"/>
          <w:b/>
          <w:bCs/>
          <w:color w:val="000000"/>
          <w:lang w:eastAsia="pl-PL"/>
        </w:rPr>
        <w:t>.10.2019 r. do dnia 14.10.2019 r.</w:t>
      </w:r>
      <w:bookmarkEnd w:id="0"/>
    </w:p>
    <w:p>
      <w:pPr>
        <w:pStyle w:val="Normal"/>
        <w:shd w:val="clear" w:color="auto" w:fill="FFFFFF"/>
        <w:spacing w:beforeAutospacing="1" w:after="120"/>
        <w:jc w:val="both"/>
        <w:rPr>
          <w:rFonts w:eastAsia="Times New Roman" w:cs="Calibri" w:cstheme="minorHAnsi"/>
          <w:color w:val="000000" w:themeColor="text1"/>
          <w:u w:val="single"/>
          <w:lang w:eastAsia="pl-PL"/>
        </w:rPr>
      </w:pPr>
      <w:r>
        <w:rPr>
          <w:rFonts w:eastAsia="Times New Roman" w:cs="Calibri" w:cstheme="minorHAnsi"/>
          <w:color w:val="000000" w:themeColor="text1"/>
          <w:u w:val="single"/>
          <w:lang w:eastAsia="pl-PL"/>
        </w:rPr>
        <w:t>Formy wsparcia:</w:t>
      </w:r>
    </w:p>
    <w:p>
      <w:pPr>
        <w:pStyle w:val="ListParagraph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>
          <w:rFonts w:cs="DejaVuSerifCondensed"/>
          <w:b/>
          <w:color w:val="0070C0"/>
          <w:u w:val="single"/>
        </w:rPr>
        <w:t>Koło naukowe</w:t>
      </w:r>
      <w:r>
        <w:rPr>
          <w:rFonts w:cs="DejaVuSerifCondensed"/>
        </w:rPr>
        <w:t>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color w:val="000000" w:themeColor="text1"/>
          <w:sz w:val="21"/>
          <w:szCs w:val="21"/>
        </w:rPr>
        <w:t>promotor marki turystycznej;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567" w:hanging="283"/>
        <w:contextualSpacing/>
        <w:jc w:val="both"/>
        <w:rPr>
          <w:rFonts w:cs="DejaVuSerifCondensed"/>
          <w:color w:val="000000" w:themeColor="text1"/>
          <w:sz w:val="21"/>
          <w:szCs w:val="21"/>
        </w:rPr>
      </w:pPr>
      <w:r>
        <w:rPr>
          <w:rFonts w:cs="DejaVuSerifCondensed"/>
          <w:color w:val="000000" w:themeColor="text1"/>
          <w:sz w:val="21"/>
          <w:szCs w:val="21"/>
        </w:rPr>
        <w:t>podstawowe certyfikaty umiejętności komputerowych;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color w:val="000000" w:themeColor="text1"/>
          <w:sz w:val="21"/>
          <w:szCs w:val="21"/>
        </w:rPr>
        <w:t>zaawansowane techniki modelowania 3D.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contextualSpacing/>
        <w:jc w:val="both"/>
        <w:rPr/>
      </w:pPr>
      <w:r>
        <w:rPr>
          <w:rFonts w:cs="DejaVuSerifCondensed"/>
          <w:b/>
          <w:color w:val="0070C0"/>
          <w:u w:val="single"/>
        </w:rPr>
        <w:t>Kurs/szkolenie</w:t>
      </w:r>
      <w:r>
        <w:rPr>
          <w:rFonts w:cs="DejaVuSerifCondensed-Bold"/>
          <w:bCs/>
        </w:rPr>
        <w:t>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sz w:val="21"/>
          <w:szCs w:val="21"/>
        </w:rPr>
        <w:t>operator przecinarek do nawierzchni dróg;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sz w:val="21"/>
          <w:szCs w:val="21"/>
        </w:rPr>
        <w:t>operator podestów ruchomych przejezdnych wolnobieżnych;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sz w:val="21"/>
          <w:szCs w:val="21"/>
        </w:rPr>
        <w:t>język migowy;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Calibri" w:cstheme="minorHAnsi"/>
          <w:sz w:val="21"/>
          <w:szCs w:val="21"/>
        </w:rPr>
        <w:t>monter suchej zabudowy;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Calibri" w:cstheme="minorHAnsi"/>
          <w:sz w:val="21"/>
          <w:szCs w:val="21"/>
        </w:rPr>
        <w:t>obsługa kasy fiskalnej,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Calibri" w:cstheme="minorHAnsi"/>
          <w:sz w:val="21"/>
          <w:szCs w:val="21"/>
        </w:rPr>
        <w:t>prawo jazdy kat. E-B.</w:t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eastAsia="Times New Roman" w:cs="Calibri" w:cstheme="minorHAnsi"/>
          <w:color w:val="444444"/>
          <w:u w:val="single"/>
          <w:lang w:eastAsia="pl-PL"/>
        </w:rPr>
      </w:pPr>
      <w:r>
        <w:rPr>
          <w:rFonts w:eastAsia="Times New Roman" w:cs="Calibri" w:cstheme="minorHAnsi"/>
          <w:color w:val="000000"/>
          <w:u w:val="single"/>
          <w:lang w:eastAsia="pl-PL"/>
        </w:rPr>
        <w:t>Składanie formularzy rekrutacyjnych: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</w:tabs>
        <w:spacing w:lineRule="auto" w:line="360" w:before="0" w:after="0"/>
        <w:ind w:left="567" w:hanging="357"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 xml:space="preserve">Formularz rekrutacyjny należy złożyć w biurze projektu lub u koordynatora szkolnego w </w:t>
        <w:tab/>
        <w:t xml:space="preserve">terminie 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od 07.10.2019 r. do dnia 14.10.2019 r. </w:t>
      </w:r>
      <w:r>
        <w:rPr>
          <w:rFonts w:eastAsia="Times New Roman" w:cs="Calibri" w:cstheme="minorHAnsi"/>
          <w:color w:val="000000"/>
          <w:lang w:eastAsia="pl-PL"/>
        </w:rPr>
        <w:t xml:space="preserve">W przypadku przesłania drogą pocztową </w:t>
        <w:tab/>
        <w:t>decyduje data wpływu formularza do biura projektu.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120"/>
        <w:ind w:left="714" w:hanging="357"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 xml:space="preserve">Regulamin uczestnictwa w projekcie 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wraz z załącznikami znajduje się do pobrania na stronie internetowej Szkoły </w:t>
      </w:r>
      <w:hyperlink r:id="rId2">
        <w:r>
          <w:rPr>
            <w:rStyle w:val="Czeinternetowe"/>
            <w:rFonts w:eastAsia="Times New Roman" w:cs="Calibri" w:cstheme="minorHAnsi"/>
            <w:lang w:eastAsia="pl-PL"/>
          </w:rPr>
          <w:t>www.zsp-drezdenko.cal.pl</w:t>
        </w:r>
      </w:hyperlink>
      <w:r>
        <w:rPr>
          <w:rFonts w:eastAsia="Times New Roman" w:cs="Calibri" w:cstheme="minorHAnsi"/>
          <w:color w:val="000000" w:themeColor="text1"/>
          <w:lang w:eastAsia="pl-PL"/>
        </w:rPr>
        <w:t xml:space="preserve">, Starostwa Powiatowego w Strzelcach Krajeńskich </w:t>
      </w:r>
      <w:hyperlink r:id="rId3">
        <w:r>
          <w:rPr>
            <w:rStyle w:val="Czeinternetowe"/>
            <w:rFonts w:eastAsia="Times New Roman" w:cs="Calibri" w:cstheme="minorHAnsi"/>
            <w:lang w:eastAsia="pl-PL"/>
          </w:rPr>
          <w:t>www.fsd.pl</w:t>
        </w:r>
      </w:hyperlink>
      <w:r>
        <w:rPr>
          <w:rFonts w:eastAsia="Times New Roman" w:cs="Calibri" w:cstheme="minorHAnsi"/>
          <w:color w:val="000000" w:themeColor="text1"/>
          <w:lang w:eastAsia="pl-PL"/>
        </w:rPr>
        <w:t xml:space="preserve"> w zakładce dotyczącej projektu pt. „Modernizacja kształcenia zawodowego w Powiecie Strzelecko-Drezdeneckim” oraz  w biurze projektu. 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Osoby zainteresowane udziałem, w celu uzyskania szczegółowych informacji oraz/lub pobrania dokumentów rekrutacyjnych, mogą się zgłaszać do: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</w:tabs>
        <w:spacing w:before="0" w:after="0"/>
        <w:ind w:left="567" w:hanging="357"/>
        <w:contextualSpacing/>
        <w:jc w:val="both"/>
        <w:rPr/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Powiatowego Zespołu Ekonomiczno-Administracyjnego w Strzelcach Krajeńskich, </w:t>
        <w:br/>
        <w:t xml:space="preserve">ul. Ks. St. Wyszyńskiego 7, 66-500 Strzelce Krajeńskie, pokój 09 w godzinach 07.30-15.00 oraz pod numerem telefonu 95 783 66 78 lub adresem poczty elektronicznej: </w:t>
      </w:r>
      <w:hyperlink r:id="rId4">
        <w:r>
          <w:rPr>
            <w:rStyle w:val="Czeinternetowe"/>
            <w:rFonts w:eastAsia="Times New Roman" w:cs="Calibri" w:cstheme="minorHAnsi"/>
            <w:lang w:eastAsia="pl-PL"/>
          </w:rPr>
          <w:t>biuroprojektu.pzea@gmail.com</w:t>
        </w:r>
      </w:hyperlink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</w:tabs>
        <w:spacing w:before="0" w:afterAutospacing="1"/>
        <w:ind w:left="567" w:hanging="360"/>
        <w:contextualSpacing/>
        <w:jc w:val="both"/>
        <w:rPr/>
      </w:pPr>
      <w:r>
        <w:rPr>
          <w:rFonts w:eastAsia="Times New Roman" w:cs="Calibri" w:cstheme="minorHAnsi"/>
          <w:color w:val="000000" w:themeColor="text1"/>
          <w:lang w:eastAsia="pl-PL"/>
        </w:rPr>
        <w:t>Koordynatora szkolnego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20"/>
      </w:rPr>
      <w:t>Strzelce Krajeńskie,</w:t>
    </w:r>
    <w:r>
      <w:rPr>
        <w:color w:val="CE181E"/>
        <w:sz w:val="20"/>
      </w:rPr>
      <w:t xml:space="preserve"> </w:t>
    </w:r>
    <w:r>
      <w:rPr>
        <w:color w:val="000000"/>
        <w:sz w:val="20"/>
      </w:rPr>
      <w:t>07</w:t>
    </w:r>
    <w:r>
      <w:rPr>
        <w:b w:val="false"/>
        <w:bCs w:val="false"/>
        <w:color w:val="000000"/>
        <w:sz w:val="20"/>
      </w:rPr>
      <w:t xml:space="preserve"> października</w:t>
    </w:r>
    <w:r>
      <w:rPr>
        <w:color w:val="000000"/>
        <w:sz w:val="20"/>
      </w:rPr>
      <w:t xml:space="preserve"> 2019 r.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rPr>
        <w:rFonts w:ascii="Arial" w:hAnsi="Arial" w:eastAsia="Times New Roman" w:cs="Arial"/>
        <w:sz w:val="20"/>
        <w:szCs w:val="20"/>
        <w:lang w:eastAsia="pl-PL"/>
      </w:rPr>
    </w:pPr>
    <w:r>
      <w:rPr/>
      <w:drawing>
        <wp:inline distT="0" distB="0" distL="0" distR="0">
          <wp:extent cx="5715000" cy="10572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tabs>
        <w:tab w:val="clear" w:pos="709"/>
        <w:tab w:val="center" w:pos="4536" w:leader="none"/>
        <w:tab w:val="right" w:pos="9072" w:leader="none"/>
      </w:tabs>
      <w:spacing w:lineRule="auto" w:line="240" w:before="0" w:after="120"/>
      <w:jc w:val="center"/>
      <w:rPr>
        <w:rFonts w:eastAsia="Times New Roman" w:cs="Calibri" w:cstheme="minorHAnsi"/>
        <w:sz w:val="18"/>
        <w:szCs w:val="20"/>
        <w:lang w:eastAsia="pl-PL"/>
      </w:rPr>
    </w:pPr>
    <w:r>
      <w:rPr>
        <w:rFonts w:eastAsia="Times New Roman" w:cs="Calibri" w:cstheme="minorHAnsi"/>
        <w:sz w:val="18"/>
        <w:szCs w:val="20"/>
        <w:lang w:eastAsia="pl-PL"/>
      </w:rPr>
      <w:t>Projekt współfinansowany ze środków Europejskiego Funduszu Społecznego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1"/>
        <w:szCs w:val="22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d2cd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d2cd3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d2c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d2c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2cd3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e22b6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7d61"/>
    <w:rPr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1"/>
      <w:szCs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Calibri" w:cstheme="minorHAnsi"/>
      <w:lang w:eastAsia="pl-PL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1"/>
      <w:szCs w:val="22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eastAsia="Times New Roman" w:cs="Calibri" w:cstheme="minorHAnsi"/>
      <w:lang w:eastAsia="pl-PL"/>
    </w:rPr>
  </w:style>
  <w:style w:type="character" w:styleId="ListLabel144">
    <w:name w:val="ListLabel 144"/>
    <w:qFormat/>
    <w:rPr>
      <w:rFonts w:eastAsia="Times New Roman" w:cs="Calibri"/>
      <w:lang w:eastAsia="pl-PL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cs="Symbol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38">
    <w:name w:val="ListLabel 138"/>
    <w:qFormat/>
    <w:rPr>
      <w:rFonts w:cs="Symbol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Symbol"/>
      <w:sz w:val="22"/>
      <w:szCs w:val="22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rFonts w:cs="Symbol"/>
    </w:rPr>
  </w:style>
  <w:style w:type="character" w:styleId="ListLabel131">
    <w:name w:val="ListLabel 131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29">
    <w:name w:val="ListLabel 129"/>
    <w:qFormat/>
    <w:rPr>
      <w:rFonts w:cs="Symbol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color w:val="000000"/>
    </w:rPr>
  </w:style>
  <w:style w:type="character" w:styleId="ListLabel124">
    <w:name w:val="ListLabel 124"/>
    <w:qFormat/>
    <w:rPr>
      <w:rFonts w:eastAsia="Times New Roman" w:cs="Calibri"/>
      <w:lang w:eastAsia="pl-PL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cs="Symbol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cs="Symbol"/>
      <w:sz w:val="22"/>
      <w:szCs w:val="22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Symbol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Symbol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cs="Symbol"/>
    </w:rPr>
  </w:style>
  <w:style w:type="character" w:styleId="ListLabel105">
    <w:name w:val="ListLabel 105"/>
    <w:qFormat/>
    <w:rPr>
      <w:color w:val="000000"/>
    </w:rPr>
  </w:style>
  <w:style w:type="character" w:styleId="ListLabel104">
    <w:name w:val="ListLabel 104"/>
    <w:qFormat/>
    <w:rPr>
      <w:rFonts w:eastAsia="Times New Roman" w:cs="Calibri"/>
      <w:lang w:eastAsia="pl-PL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color w:val="000000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  <w:sz w:val="21"/>
      <w:szCs w:val="22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eastAsia="Times New Roman" w:cs="Calibri" w:cstheme="minorHAnsi"/>
      <w:lang w:eastAsia="pl-PL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color w:val="000000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sz w:val="21"/>
      <w:szCs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eastAsia="Times New Roman" w:cs="Calibri" w:cstheme="minorHAnsi"/>
      <w:lang w:eastAsia="pl-PL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color w:val="000000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  <w:sz w:val="21"/>
      <w:szCs w:val="22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eastAsia="Times New Roman" w:cs="Calibri" w:cstheme="minorHAnsi"/>
      <w:lang w:eastAsia="pl-PL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color w:val="000000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1"/>
      <w:szCs w:val="22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eastAsia="Times New Roman" w:cs="Calibri" w:cstheme="minorHAnsi"/>
      <w:lang w:eastAsia="pl-PL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color w:val="000000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  <w:sz w:val="21"/>
      <w:szCs w:val="22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eastAsia="Times New Roman" w:cs="Calibri" w:cstheme="minorHAnsi"/>
      <w:lang w:eastAsia="pl-PL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color w:val="000000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  <w:sz w:val="21"/>
      <w:szCs w:val="22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eastAsia="Times New Roman" w:cs="Calibri" w:cstheme="minorHAnsi"/>
      <w:lang w:eastAsia="pl-PL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color w:val="000000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1"/>
      <w:szCs w:val="22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eastAsia="Times New Roman" w:cs="Calibri" w:cstheme="minorHAnsi"/>
      <w:lang w:eastAsia="pl-PL"/>
    </w:rPr>
  </w:style>
  <w:style w:type="character" w:styleId="ListLabel299">
    <w:name w:val="ListLabel 299"/>
    <w:qFormat/>
    <w:rPr>
      <w:rFonts w:cs="Wingdings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color w:val="000000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  <w:sz w:val="21"/>
      <w:szCs w:val="22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eastAsia="Times New Roman" w:cs="Calibri" w:cstheme="minorHAnsi"/>
      <w:lang w:eastAsia="pl-PL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color w:val="000000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  <w:sz w:val="21"/>
      <w:szCs w:val="22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eastAsia="Times New Roman" w:cs="Calibri" w:cstheme="minorHAnsi"/>
      <w:lang w:eastAsia="pl-PL"/>
    </w:rPr>
  </w:style>
  <w:style w:type="character" w:styleId="ListLabel343">
    <w:name w:val="ListLabel 343"/>
    <w:qFormat/>
    <w:rPr>
      <w:rFonts w:cs="Wingdings"/>
      <w:sz w:val="20"/>
    </w:rPr>
  </w:style>
  <w:style w:type="character" w:styleId="ListLabel344">
    <w:name w:val="ListLabel 344"/>
    <w:qFormat/>
    <w:rPr>
      <w:rFonts w:cs="Wingdings"/>
      <w:sz w:val="20"/>
    </w:rPr>
  </w:style>
  <w:style w:type="character" w:styleId="ListLabel345">
    <w:name w:val="ListLabel 345"/>
    <w:qFormat/>
    <w:rPr>
      <w:color w:val="000000"/>
    </w:rPr>
  </w:style>
  <w:style w:type="character" w:styleId="ListLabel346">
    <w:name w:val="ListLabel 346"/>
    <w:qFormat/>
    <w:rPr>
      <w:rFonts w:cs="Symbol"/>
      <w:sz w:val="21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  <w:sz w:val="21"/>
      <w:szCs w:val="22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eastAsia="Times New Roman" w:cs="Calibri" w:cstheme="minorHAnsi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d2c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bd2cd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d2cd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2c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d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p-drezdenko.cal.pl/" TargetMode="External"/><Relationship Id="rId3" Type="http://schemas.openxmlformats.org/officeDocument/2006/relationships/hyperlink" Target="http://www.fsd.pl/" TargetMode="External"/><Relationship Id="rId4" Type="http://schemas.openxmlformats.org/officeDocument/2006/relationships/hyperlink" Target="mailto:biuroprojektu.pzea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LibreOffice/6.1.1.2$Windows_X86_64 LibreOffice_project/5d19a1bfa650b796764388cd8b33a5af1f5baa1b</Application>
  <Pages>2</Pages>
  <Words>240</Words>
  <Characters>1721</Characters>
  <CharactersWithSpaces>1928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2018-10-01T11:02:00Z</dcterms:created>
  <dc:creator>Edyta Sałatka</dc:creator>
  <dc:description/>
  <dc:language>pl-PL</dc:language>
  <cp:lastModifiedBy/>
  <cp:lastPrinted>2019-08-19T11:48:12Z</cp:lastPrinted>
  <dcterms:modified xsi:type="dcterms:W3CDTF">2019-10-07T13:23:27Z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